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6D94" w14:textId="77777777" w:rsidR="00926309" w:rsidRDefault="00926309" w:rsidP="00926309">
      <w:pPr>
        <w:shd w:val="clear" w:color="auto" w:fill="FFFFFF"/>
        <w:spacing w:before="100" w:beforeAutospacing="1" w:after="100" w:afterAutospacing="1"/>
        <w:rPr>
          <w:rFonts w:ascii="Arial" w:hAnsi="Arial" w:cs="Arial"/>
          <w:b/>
          <w:bCs/>
          <w:color w:val="333333"/>
          <w:sz w:val="24"/>
          <w:szCs w:val="24"/>
          <w:lang w:eastAsia="de-DE"/>
        </w:rPr>
      </w:pPr>
      <w:r>
        <w:rPr>
          <w:rFonts w:ascii="Arial" w:hAnsi="Arial" w:cs="Arial"/>
          <w:b/>
          <w:bCs/>
          <w:color w:val="333333"/>
          <w:sz w:val="24"/>
          <w:szCs w:val="24"/>
          <w:lang w:eastAsia="de-DE"/>
        </w:rPr>
        <w:t>Beruflicher Teil</w:t>
      </w:r>
    </w:p>
    <w:p w14:paraId="0AC0B8F6" w14:textId="77777777" w:rsidR="00926309" w:rsidRDefault="00926309" w:rsidP="00926309">
      <w:pPr>
        <w:shd w:val="clear" w:color="auto" w:fill="FFFFFF"/>
        <w:spacing w:before="100" w:beforeAutospacing="1" w:after="100" w:afterAutospacing="1"/>
        <w:rPr>
          <w:rFonts w:ascii="Arial" w:hAnsi="Arial" w:cs="Arial"/>
          <w:color w:val="666666"/>
          <w:spacing w:val="3"/>
          <w:sz w:val="21"/>
          <w:szCs w:val="21"/>
          <w:lang w:eastAsia="de-DE"/>
        </w:rPr>
      </w:pPr>
      <w:r>
        <w:rPr>
          <w:rFonts w:ascii="Arial" w:hAnsi="Arial" w:cs="Arial"/>
          <w:color w:val="666666"/>
          <w:spacing w:val="3"/>
          <w:sz w:val="21"/>
          <w:szCs w:val="21"/>
          <w:lang w:eastAsia="de-DE"/>
        </w:rPr>
        <w:t>Es muss ein einjähriges geregeltes Praktikum, eine abgeschlossene Berufsausbildung oder die Ableistung eines freiwilligen sozialen oder ökologischen Jahres nachgewiesen werden. Das Praktikum ist zeitlich zusammenhängend in Vollzeitform durchzuführen. Es erfolgt in einem anerkannten Ausbildungsbetrieb, in einer Einrichtung der sozialen Arbeit oder in der öffentlichen Verwaltung. Die fachliche Ausrichtung des Praktikums soll möglichst dem angestrebten Studiengang an der Fachhochschule entsprechen. Das Nähere regelt die Verwaltungsvorschrift über das Praktikum zum Erwerb der Fachhochschulreife. Eine Berufsausbildung kann in einem bundesrechtlich oder landesrechtlich geregelten Ausbildungsberuf mit mindestens 2-jähriger Ausbildungsdauer absolviert werden.</w:t>
      </w:r>
    </w:p>
    <w:p w14:paraId="1E8461F4" w14:textId="77777777" w:rsidR="00926309" w:rsidRDefault="00926309" w:rsidP="00926309">
      <w:pPr>
        <w:shd w:val="clear" w:color="auto" w:fill="FFFFFF"/>
        <w:spacing w:before="100" w:beforeAutospacing="1" w:after="100" w:afterAutospacing="1"/>
        <w:rPr>
          <w:rFonts w:ascii="Arial" w:hAnsi="Arial" w:cs="Arial"/>
          <w:color w:val="666666"/>
          <w:spacing w:val="3"/>
          <w:sz w:val="21"/>
          <w:szCs w:val="21"/>
          <w:lang w:eastAsia="de-DE"/>
        </w:rPr>
      </w:pPr>
      <w:r>
        <w:rPr>
          <w:rFonts w:ascii="Arial" w:hAnsi="Arial" w:cs="Arial"/>
          <w:color w:val="666666"/>
          <w:spacing w:val="3"/>
          <w:sz w:val="21"/>
          <w:szCs w:val="21"/>
          <w:lang w:eastAsia="de-DE"/>
        </w:rPr>
        <w:t>Auf die Praktikantentätigkeit oder Zeiten eines freiwilligen sozialen Jahres oder eines freiwilligen ökologischen Jahres ist der abgeleistete Wehr- oder Zivildienst bis zu 6 Monaten, ein mindestens 18 Monate dauernder freiwilliger Wehr- oder Zivildienst bis zu 12 Monaten anzurechnen.</w:t>
      </w:r>
    </w:p>
    <w:p w14:paraId="57AE840A" w14:textId="77777777" w:rsidR="00926309" w:rsidRDefault="00926309" w:rsidP="00926309">
      <w:pPr>
        <w:shd w:val="clear" w:color="auto" w:fill="FFFFFF"/>
        <w:spacing w:before="100" w:beforeAutospacing="1" w:after="100" w:afterAutospacing="1"/>
        <w:rPr>
          <w:rFonts w:ascii="Arial" w:hAnsi="Arial" w:cs="Arial"/>
          <w:color w:val="666666"/>
          <w:spacing w:val="3"/>
          <w:sz w:val="21"/>
          <w:szCs w:val="21"/>
          <w:lang w:eastAsia="de-DE"/>
        </w:rPr>
      </w:pPr>
      <w:r>
        <w:rPr>
          <w:rFonts w:ascii="Arial" w:hAnsi="Arial" w:cs="Arial"/>
          <w:color w:val="666666"/>
          <w:spacing w:val="3"/>
          <w:sz w:val="21"/>
          <w:szCs w:val="21"/>
          <w:lang w:eastAsia="de-DE"/>
        </w:rPr>
        <w:t>Für die Zulassung zum Studium an einer Fachhochschule in Rheinland-Pfalz sind die Bescheinigung der Schule, ein Abgangszeugnis und der Nachweis des Praktikums (Praktikantenzeugnis) oder der abgeschlossenen Berufsausbildung erforderlich.</w:t>
      </w:r>
    </w:p>
    <w:p w14:paraId="5D0C4886" w14:textId="77777777" w:rsidR="00926309" w:rsidRDefault="00926309" w:rsidP="00926309">
      <w:pPr>
        <w:shd w:val="clear" w:color="auto" w:fill="FFFFFF"/>
        <w:spacing w:line="360" w:lineRule="atLeast"/>
        <w:jc w:val="center"/>
        <w:rPr>
          <w:rFonts w:ascii="Verdana" w:hAnsi="Verdana"/>
          <w:b/>
          <w:bCs/>
          <w:color w:val="000000"/>
          <w:sz w:val="24"/>
          <w:szCs w:val="24"/>
          <w:lang w:eastAsia="de-DE"/>
        </w:rPr>
      </w:pPr>
      <w:r>
        <w:rPr>
          <w:rFonts w:ascii="Verdana" w:hAnsi="Verdana"/>
          <w:b/>
          <w:bCs/>
          <w:color w:val="000000"/>
          <w:sz w:val="24"/>
          <w:szCs w:val="24"/>
          <w:lang w:eastAsia="de-DE"/>
        </w:rPr>
        <w:t>Praktikum</w:t>
      </w:r>
      <w:r>
        <w:rPr>
          <w:rFonts w:ascii="Verdana" w:hAnsi="Verdana"/>
          <w:b/>
          <w:bCs/>
          <w:color w:val="000000"/>
          <w:sz w:val="24"/>
          <w:szCs w:val="24"/>
          <w:lang w:eastAsia="de-DE"/>
        </w:rPr>
        <w:br/>
        <w:t>zum Erwerb der Fachhochschulreife</w:t>
      </w:r>
      <w:r>
        <w:rPr>
          <w:rFonts w:ascii="Verdana" w:hAnsi="Verdana"/>
          <w:b/>
          <w:bCs/>
          <w:color w:val="000000"/>
          <w:sz w:val="24"/>
          <w:szCs w:val="24"/>
          <w:lang w:eastAsia="de-DE"/>
        </w:rPr>
        <w:br/>
        <w:t>nach § 65 Abs. 3 des Hochschulgesetzes</w:t>
      </w:r>
    </w:p>
    <w:p w14:paraId="3B47352A" w14:textId="77777777" w:rsidR="00926309" w:rsidRDefault="00926309" w:rsidP="00926309">
      <w:pPr>
        <w:spacing w:after="240"/>
        <w:rPr>
          <w:lang w:eastAsia="de-DE"/>
        </w:rPr>
      </w:pPr>
      <w:r>
        <w:rPr>
          <w:rFonts w:ascii="Verdana" w:hAnsi="Verdana"/>
          <w:color w:val="000000"/>
          <w:sz w:val="24"/>
          <w:szCs w:val="24"/>
          <w:lang w:eastAsia="de-DE"/>
        </w:rPr>
        <w:br/>
      </w:r>
    </w:p>
    <w:p w14:paraId="35CF6918" w14:textId="77777777" w:rsidR="00926309" w:rsidRDefault="00926309" w:rsidP="00926309">
      <w:pPr>
        <w:shd w:val="clear" w:color="auto" w:fill="FFFFFF"/>
        <w:spacing w:line="360" w:lineRule="atLeast"/>
        <w:jc w:val="center"/>
        <w:rPr>
          <w:rFonts w:ascii="Verdana" w:hAnsi="Verdana"/>
          <w:b/>
          <w:bCs/>
          <w:color w:val="000000"/>
          <w:sz w:val="24"/>
          <w:szCs w:val="24"/>
          <w:lang w:eastAsia="de-DE"/>
        </w:rPr>
      </w:pPr>
      <w:r>
        <w:rPr>
          <w:rFonts w:ascii="Verdana" w:hAnsi="Verdana"/>
          <w:color w:val="000000"/>
          <w:sz w:val="24"/>
          <w:szCs w:val="24"/>
          <w:lang w:eastAsia="de-DE"/>
        </w:rPr>
        <w:t>Verwaltungsvorschrift des Ministeriums für Bildung,</w:t>
      </w:r>
      <w:r>
        <w:rPr>
          <w:rFonts w:ascii="Verdana" w:hAnsi="Verdana"/>
          <w:color w:val="000000"/>
          <w:sz w:val="24"/>
          <w:szCs w:val="24"/>
          <w:lang w:eastAsia="de-DE"/>
        </w:rPr>
        <w:br/>
        <w:t>Wissenschaft, Jugend und Kultur</w:t>
      </w:r>
      <w:r>
        <w:rPr>
          <w:rFonts w:ascii="Verdana" w:hAnsi="Verdana"/>
          <w:color w:val="000000"/>
          <w:sz w:val="24"/>
          <w:szCs w:val="24"/>
          <w:lang w:eastAsia="de-DE"/>
        </w:rPr>
        <w:br/>
        <w:t>vom 26. Januar 2009 (944 D – 51 418/35)</w:t>
      </w:r>
    </w:p>
    <w:p w14:paraId="70FF9994" w14:textId="77777777" w:rsidR="00926309" w:rsidRDefault="00926309" w:rsidP="00926309">
      <w:pPr>
        <w:spacing w:after="240"/>
        <w:rPr>
          <w:lang w:eastAsia="de-DE"/>
        </w:rPr>
      </w:pPr>
      <w:r>
        <w:rPr>
          <w:rFonts w:ascii="Verdana" w:hAnsi="Verdana"/>
          <w:color w:val="000000"/>
          <w:sz w:val="24"/>
          <w:szCs w:val="24"/>
          <w:lang w:eastAsia="de-DE"/>
        </w:rPr>
        <w:br/>
      </w:r>
    </w:p>
    <w:p w14:paraId="18B3B722" w14:textId="77777777" w:rsidR="00926309" w:rsidRDefault="00926309" w:rsidP="00926309">
      <w:pPr>
        <w:shd w:val="clear" w:color="auto" w:fill="FFFFFF"/>
        <w:spacing w:line="360" w:lineRule="atLeast"/>
        <w:rPr>
          <w:rFonts w:ascii="Verdana" w:hAnsi="Verdana"/>
          <w:b/>
          <w:bCs/>
          <w:color w:val="000000"/>
          <w:sz w:val="24"/>
          <w:szCs w:val="24"/>
          <w:lang w:eastAsia="de-DE"/>
        </w:rPr>
      </w:pPr>
      <w:r>
        <w:rPr>
          <w:rFonts w:ascii="Verdana" w:hAnsi="Verdana"/>
          <w:b/>
          <w:bCs/>
          <w:color w:val="000000"/>
          <w:sz w:val="24"/>
          <w:szCs w:val="24"/>
          <w:lang w:eastAsia="de-DE"/>
        </w:rPr>
        <w:t>Fundstelle: </w:t>
      </w:r>
      <w:proofErr w:type="spellStart"/>
      <w:r>
        <w:rPr>
          <w:rFonts w:ascii="Verdana" w:hAnsi="Verdana"/>
          <w:color w:val="000000"/>
          <w:sz w:val="24"/>
          <w:szCs w:val="24"/>
          <w:lang w:eastAsia="de-DE"/>
        </w:rPr>
        <w:t>Amtsbl</w:t>
      </w:r>
      <w:proofErr w:type="spellEnd"/>
      <w:r>
        <w:rPr>
          <w:rFonts w:ascii="Verdana" w:hAnsi="Verdana"/>
          <w:color w:val="000000"/>
          <w:sz w:val="24"/>
          <w:szCs w:val="24"/>
          <w:lang w:eastAsia="de-DE"/>
        </w:rPr>
        <w:t>. 2009, S. 121</w:t>
      </w:r>
    </w:p>
    <w:p w14:paraId="41854A46" w14:textId="77777777" w:rsidR="00926309" w:rsidRDefault="00926309" w:rsidP="00926309">
      <w:pPr>
        <w:shd w:val="clear" w:color="auto" w:fill="FFFFFF"/>
        <w:spacing w:line="360" w:lineRule="atLeast"/>
        <w:rPr>
          <w:rFonts w:ascii="Verdana" w:hAnsi="Verdana"/>
          <w:b/>
          <w:bCs/>
          <w:color w:val="000000"/>
          <w:sz w:val="24"/>
          <w:szCs w:val="24"/>
          <w:lang w:eastAsia="de-DE"/>
        </w:rPr>
      </w:pPr>
      <w:r>
        <w:rPr>
          <w:rFonts w:ascii="Verdana" w:hAnsi="Verdana"/>
          <w:color w:val="000000"/>
          <w:sz w:val="24"/>
          <w:szCs w:val="24"/>
          <w:lang w:eastAsia="de-DE"/>
        </w:rPr>
        <w:t>Geändert durch Nr. 1.3.15 der Verwaltungsvorschrift vom 16.10.2014 (</w:t>
      </w:r>
      <w:proofErr w:type="spellStart"/>
      <w:r>
        <w:rPr>
          <w:rFonts w:ascii="Verdana" w:hAnsi="Verdana"/>
          <w:color w:val="000000"/>
          <w:sz w:val="24"/>
          <w:szCs w:val="24"/>
          <w:lang w:eastAsia="de-DE"/>
        </w:rPr>
        <w:t>Amtsbl</w:t>
      </w:r>
      <w:proofErr w:type="spellEnd"/>
      <w:r>
        <w:rPr>
          <w:rFonts w:ascii="Verdana" w:hAnsi="Verdana"/>
          <w:color w:val="000000"/>
          <w:sz w:val="24"/>
          <w:szCs w:val="24"/>
          <w:lang w:eastAsia="de-DE"/>
        </w:rPr>
        <w:t>. 2014, S. 322)</w:t>
      </w:r>
    </w:p>
    <w:p w14:paraId="317F3EBD" w14:textId="77777777" w:rsidR="00926309" w:rsidRDefault="00926309" w:rsidP="00926309">
      <w:pPr>
        <w:spacing w:after="240"/>
        <w:rPr>
          <w:lang w:eastAsia="de-DE"/>
        </w:rPr>
      </w:pPr>
    </w:p>
    <w:tbl>
      <w:tblPr>
        <w:tblW w:w="0" w:type="auto"/>
        <w:shd w:val="clear" w:color="auto" w:fill="FFFFFF"/>
        <w:tblCellMar>
          <w:left w:w="0" w:type="dxa"/>
          <w:right w:w="0" w:type="dxa"/>
        </w:tblCellMar>
        <w:tblLook w:val="04A0" w:firstRow="1" w:lastRow="0" w:firstColumn="1" w:lastColumn="0" w:noHBand="0" w:noVBand="1"/>
      </w:tblPr>
      <w:tblGrid>
        <w:gridCol w:w="951"/>
        <w:gridCol w:w="8121"/>
      </w:tblGrid>
      <w:tr w:rsidR="00926309" w14:paraId="130920E7" w14:textId="77777777" w:rsidTr="00926309">
        <w:tc>
          <w:tcPr>
            <w:tcW w:w="0" w:type="auto"/>
            <w:shd w:val="clear" w:color="auto" w:fill="FFFFFF"/>
            <w:tcMar>
              <w:top w:w="15" w:type="dxa"/>
              <w:left w:w="15" w:type="dxa"/>
              <w:bottom w:w="15" w:type="dxa"/>
              <w:right w:w="15" w:type="dxa"/>
            </w:tcMar>
            <w:hideMark/>
          </w:tcPr>
          <w:p w14:paraId="7996B44B" w14:textId="77777777" w:rsidR="00926309" w:rsidRDefault="00926309">
            <w:pPr>
              <w:spacing w:line="360" w:lineRule="atLeast"/>
              <w:rPr>
                <w:rFonts w:ascii="Verdana" w:hAnsi="Verdana"/>
                <w:b/>
                <w:bCs/>
                <w:color w:val="000000"/>
                <w:sz w:val="24"/>
                <w:szCs w:val="24"/>
                <w:lang w:eastAsia="de-DE"/>
              </w:rPr>
            </w:pPr>
            <w:r>
              <w:rPr>
                <w:rFonts w:ascii="Verdana" w:hAnsi="Verdana"/>
                <w:b/>
                <w:bCs/>
                <w:color w:val="000000"/>
                <w:sz w:val="24"/>
                <w:szCs w:val="24"/>
                <w:lang w:eastAsia="de-DE"/>
              </w:rPr>
              <w:t>Bezug:</w:t>
            </w:r>
          </w:p>
        </w:tc>
        <w:tc>
          <w:tcPr>
            <w:tcW w:w="0" w:type="auto"/>
            <w:shd w:val="clear" w:color="auto" w:fill="FFFFFF"/>
            <w:tcMar>
              <w:top w:w="15" w:type="dxa"/>
              <w:left w:w="15" w:type="dxa"/>
              <w:bottom w:w="15" w:type="dxa"/>
              <w:right w:w="15" w:type="dxa"/>
            </w:tcMar>
            <w:hideMark/>
          </w:tcPr>
          <w:p w14:paraId="258FA712" w14:textId="77777777" w:rsidR="00926309" w:rsidRDefault="00926309">
            <w:pPr>
              <w:spacing w:line="360" w:lineRule="atLeast"/>
              <w:rPr>
                <w:rFonts w:ascii="Verdana" w:hAnsi="Verdana"/>
                <w:b/>
                <w:bCs/>
                <w:color w:val="000000"/>
                <w:sz w:val="24"/>
                <w:szCs w:val="24"/>
                <w:lang w:eastAsia="de-DE"/>
              </w:rPr>
            </w:pPr>
            <w:r>
              <w:rPr>
                <w:rFonts w:ascii="Verdana" w:hAnsi="Verdana"/>
                <w:color w:val="000000"/>
                <w:sz w:val="24"/>
                <w:szCs w:val="24"/>
                <w:lang w:eastAsia="de-DE"/>
              </w:rPr>
              <w:t>Landesverordnung über den Erwerb der Fachhochschulreife nach § 65 Abs. 3 des Hochschulgesetzes vom 26. Mai 2011 (GVBl. S. 156), geändert durch Verordnung vom 14. Februar 2014 (GVBl. S. 22), BS 223-41-23</w:t>
            </w:r>
          </w:p>
        </w:tc>
      </w:tr>
    </w:tbl>
    <w:p w14:paraId="603FFCB5" w14:textId="77777777" w:rsidR="00926309" w:rsidRDefault="00926309" w:rsidP="00926309">
      <w:pPr>
        <w:shd w:val="clear" w:color="auto" w:fill="FFFFFF"/>
        <w:spacing w:after="240"/>
        <w:rPr>
          <w:rFonts w:ascii="Verdana" w:hAnsi="Verdana"/>
          <w:color w:val="000000"/>
          <w:sz w:val="24"/>
          <w:szCs w:val="24"/>
          <w:lang w:eastAsia="de-DE"/>
        </w:rPr>
      </w:pPr>
      <w:r>
        <w:rPr>
          <w:rFonts w:ascii="Verdana" w:hAnsi="Verdana"/>
          <w:color w:val="000000"/>
          <w:sz w:val="24"/>
          <w:szCs w:val="24"/>
          <w:lang w:eastAsia="de-DE"/>
        </w:rPr>
        <w:br/>
      </w:r>
      <w:r>
        <w:rPr>
          <w:rFonts w:ascii="Verdana" w:hAnsi="Verdana"/>
          <w:color w:val="000000"/>
          <w:sz w:val="24"/>
          <w:szCs w:val="24"/>
          <w:lang w:eastAsia="de-DE"/>
        </w:rPr>
        <w:br/>
      </w:r>
      <w:r>
        <w:rPr>
          <w:rFonts w:ascii="Verdana" w:hAnsi="Verdana"/>
          <w:color w:val="000000"/>
          <w:sz w:val="24"/>
          <w:szCs w:val="24"/>
          <w:lang w:eastAsia="de-DE"/>
        </w:rPr>
        <w:br/>
      </w:r>
    </w:p>
    <w:p w14:paraId="11CE8DD7" w14:textId="77777777" w:rsidR="00926309" w:rsidRDefault="00926309" w:rsidP="00926309">
      <w:pPr>
        <w:shd w:val="clear" w:color="auto" w:fill="FFFFFF"/>
        <w:spacing w:line="360" w:lineRule="atLeast"/>
        <w:rPr>
          <w:rFonts w:ascii="Verdana" w:hAnsi="Verdana"/>
          <w:color w:val="000000"/>
          <w:sz w:val="24"/>
          <w:szCs w:val="24"/>
          <w:lang w:eastAsia="de-DE"/>
        </w:rPr>
      </w:pPr>
      <w:r>
        <w:rPr>
          <w:rFonts w:ascii="Verdana" w:hAnsi="Verdana"/>
          <w:color w:val="000000"/>
          <w:sz w:val="24"/>
          <w:szCs w:val="24"/>
          <w:lang w:eastAsia="de-DE"/>
        </w:rPr>
        <w:t>1</w:t>
      </w:r>
    </w:p>
    <w:p w14:paraId="3C241BAA" w14:textId="77777777" w:rsidR="00926309" w:rsidRDefault="00926309" w:rsidP="00926309">
      <w:pPr>
        <w:shd w:val="clear" w:color="auto" w:fill="FFFFFF"/>
        <w:spacing w:after="45" w:line="360" w:lineRule="atLeast"/>
        <w:ind w:left="720"/>
        <w:rPr>
          <w:rFonts w:ascii="Verdana" w:hAnsi="Verdana"/>
          <w:color w:val="000000"/>
          <w:sz w:val="24"/>
          <w:szCs w:val="24"/>
          <w:lang w:eastAsia="de-DE"/>
        </w:rPr>
      </w:pPr>
      <w:r>
        <w:rPr>
          <w:rFonts w:ascii="Verdana" w:hAnsi="Verdana"/>
          <w:color w:val="000000"/>
          <w:sz w:val="24"/>
          <w:szCs w:val="24"/>
          <w:lang w:eastAsia="de-DE"/>
        </w:rPr>
        <w:lastRenderedPageBreak/>
        <w:t>Aufgrund des § 5 Nr. 1 der Landesverordnung über den Erwerb der Fachhochschulreife nach § 65 Abs. 3 des Hochschulgesetzes ist für den Erwerb einer der Fachhochschulreife gleichwertigen Vorbildung ein mindestens einjähriges Praktikum nachzuweisen. Für dieses Praktikum werden im Benehmen mit dem Ministerium für Wirtschaft, Verkehr, Landwirtschaft und Weinbau, dem Ministerium für Arbeit, Soziales, Gesundheit, Familie und Frauen sowie dem Ministerium des Innern und für Sport folgende Richtlinien erlassen:</w:t>
      </w:r>
    </w:p>
    <w:p w14:paraId="50462931" w14:textId="77777777" w:rsidR="00926309" w:rsidRDefault="00926309" w:rsidP="00926309">
      <w:pPr>
        <w:shd w:val="clear" w:color="auto" w:fill="FFFFFF"/>
        <w:spacing w:after="240"/>
        <w:ind w:left="720"/>
        <w:rPr>
          <w:rFonts w:ascii="Verdana" w:hAnsi="Verdana"/>
          <w:color w:val="000000"/>
          <w:sz w:val="24"/>
          <w:szCs w:val="24"/>
          <w:lang w:eastAsia="de-DE"/>
        </w:rPr>
      </w:pPr>
    </w:p>
    <w:p w14:paraId="2EA70DE0" w14:textId="77777777" w:rsidR="00926309" w:rsidRDefault="00926309" w:rsidP="00926309">
      <w:pPr>
        <w:shd w:val="clear" w:color="auto" w:fill="FFFFFF"/>
        <w:spacing w:line="360" w:lineRule="atLeast"/>
        <w:ind w:left="509"/>
        <w:rPr>
          <w:rFonts w:ascii="Verdana" w:hAnsi="Verdana"/>
          <w:color w:val="000000"/>
          <w:sz w:val="24"/>
          <w:szCs w:val="24"/>
          <w:lang w:eastAsia="de-DE"/>
        </w:rPr>
      </w:pPr>
      <w:r>
        <w:rPr>
          <w:rFonts w:ascii="Verdana" w:hAnsi="Verdana"/>
          <w:color w:val="000000"/>
          <w:sz w:val="24"/>
          <w:szCs w:val="24"/>
          <w:lang w:eastAsia="de-DE"/>
        </w:rPr>
        <w:t>1.1</w:t>
      </w:r>
    </w:p>
    <w:p w14:paraId="59CC1261" w14:textId="77777777" w:rsidR="00926309" w:rsidRDefault="00926309" w:rsidP="00926309">
      <w:pPr>
        <w:shd w:val="clear" w:color="auto" w:fill="FFFFFF"/>
        <w:spacing w:after="45" w:line="360" w:lineRule="atLeast"/>
        <w:ind w:left="720"/>
        <w:rPr>
          <w:rFonts w:ascii="Verdana" w:hAnsi="Verdana"/>
          <w:color w:val="000000"/>
          <w:sz w:val="24"/>
          <w:szCs w:val="24"/>
          <w:lang w:eastAsia="de-DE"/>
        </w:rPr>
      </w:pPr>
      <w:r>
        <w:rPr>
          <w:rFonts w:ascii="Verdana" w:hAnsi="Verdana"/>
          <w:color w:val="000000"/>
          <w:sz w:val="24"/>
          <w:szCs w:val="24"/>
          <w:lang w:eastAsia="de-DE"/>
        </w:rPr>
        <w:t>Das Praktikum ist im Anschluss an den Schulbesuch zeitlich zusammenhängend in Vollzeitform durchzuführen und erstreckt sich über ein Jahr. In Ausnahmefällen ist auch ein Teilzeitpraktikum mit mindestens der Hälfte der regelmäßigen Arbeitszeit möglich; in einem solchen Fall dauert das Praktikum bis zu zwei Jahre. Im Praktikumszeugnis ist dies unter Bemerkungen kenntlich zu machen. Die tägliche und wöchentliche Arbeitszeit der Praktikantinnen und Praktikanten in der Praktikantenstelle regelt sich nach den gesetzlichen und tariflichen Bestimmungen; Entsprechendes gilt für den Urlaubsanspruch.</w:t>
      </w:r>
    </w:p>
    <w:p w14:paraId="04EA0270" w14:textId="77777777" w:rsidR="00926309" w:rsidRDefault="00926309" w:rsidP="00926309">
      <w:pPr>
        <w:shd w:val="clear" w:color="auto" w:fill="FFFFFF"/>
        <w:spacing w:after="240"/>
        <w:ind w:left="720"/>
        <w:rPr>
          <w:rFonts w:ascii="Verdana" w:hAnsi="Verdana"/>
          <w:color w:val="000000"/>
          <w:sz w:val="24"/>
          <w:szCs w:val="24"/>
          <w:lang w:eastAsia="de-DE"/>
        </w:rPr>
      </w:pPr>
    </w:p>
    <w:p w14:paraId="206C2515" w14:textId="77777777" w:rsidR="00926309" w:rsidRDefault="00926309" w:rsidP="00926309">
      <w:pPr>
        <w:shd w:val="clear" w:color="auto" w:fill="FFFFFF"/>
        <w:spacing w:line="360" w:lineRule="atLeast"/>
        <w:ind w:left="1018"/>
        <w:rPr>
          <w:rFonts w:ascii="Verdana" w:hAnsi="Verdana"/>
          <w:color w:val="000000"/>
          <w:sz w:val="24"/>
          <w:szCs w:val="24"/>
          <w:lang w:eastAsia="de-DE"/>
        </w:rPr>
      </w:pPr>
      <w:r>
        <w:rPr>
          <w:rFonts w:ascii="Verdana" w:hAnsi="Verdana"/>
          <w:color w:val="000000"/>
          <w:sz w:val="24"/>
          <w:szCs w:val="24"/>
          <w:lang w:eastAsia="de-DE"/>
        </w:rPr>
        <w:t>1.2</w:t>
      </w:r>
    </w:p>
    <w:p w14:paraId="6FD7586A" w14:textId="77777777" w:rsidR="00926309" w:rsidRDefault="00926309" w:rsidP="00926309">
      <w:pPr>
        <w:shd w:val="clear" w:color="auto" w:fill="FFFFFF"/>
        <w:spacing w:after="45" w:line="360" w:lineRule="atLeast"/>
        <w:ind w:left="720"/>
        <w:rPr>
          <w:rFonts w:ascii="Verdana" w:hAnsi="Verdana"/>
          <w:color w:val="000000"/>
          <w:sz w:val="24"/>
          <w:szCs w:val="24"/>
          <w:lang w:eastAsia="de-DE"/>
        </w:rPr>
      </w:pPr>
      <w:r>
        <w:rPr>
          <w:rFonts w:ascii="Verdana" w:hAnsi="Verdana"/>
          <w:color w:val="000000"/>
          <w:sz w:val="24"/>
          <w:szCs w:val="24"/>
          <w:lang w:eastAsia="de-DE"/>
        </w:rPr>
        <w:t>Das Praktikum soll möglichst in einer dem angestrebten Studiengang an der Fachhochschule entsprechenden Richtung abgeleistet werden. Die Fachhochschule berät bei der inhaltlichen Ausgestaltung des Praktikums. Dieses soll einschlägige Kenntnisse, Fertigkeiten und Erfahrungen der beruflichen Praxis vermitteln und zum Verständnis von planerischen, technischen, wirtschaftlichen, sozialen und rechtlichen Zusammenhängen des Betriebsgeschehens beitragen.</w:t>
      </w:r>
    </w:p>
    <w:p w14:paraId="3367C6C8" w14:textId="77777777" w:rsidR="00926309" w:rsidRDefault="00926309" w:rsidP="00926309">
      <w:pPr>
        <w:shd w:val="clear" w:color="auto" w:fill="FFFFFF"/>
        <w:spacing w:after="240"/>
        <w:ind w:left="720"/>
        <w:rPr>
          <w:rFonts w:ascii="Verdana" w:hAnsi="Verdana"/>
          <w:color w:val="000000"/>
          <w:sz w:val="24"/>
          <w:szCs w:val="24"/>
          <w:lang w:eastAsia="de-DE"/>
        </w:rPr>
      </w:pPr>
    </w:p>
    <w:p w14:paraId="2F41AC44" w14:textId="77777777" w:rsidR="00926309" w:rsidRDefault="00926309" w:rsidP="00926309">
      <w:pPr>
        <w:shd w:val="clear" w:color="auto" w:fill="FFFFFF"/>
        <w:spacing w:after="45" w:line="360" w:lineRule="atLeast"/>
        <w:ind w:left="720"/>
        <w:rPr>
          <w:rFonts w:ascii="Verdana" w:hAnsi="Verdana"/>
          <w:color w:val="000000"/>
          <w:sz w:val="24"/>
          <w:szCs w:val="24"/>
          <w:lang w:eastAsia="de-DE"/>
        </w:rPr>
      </w:pPr>
      <w:r>
        <w:rPr>
          <w:rFonts w:ascii="Verdana" w:hAnsi="Verdana"/>
          <w:color w:val="000000"/>
          <w:sz w:val="24"/>
          <w:szCs w:val="24"/>
          <w:lang w:eastAsia="de-DE"/>
        </w:rPr>
        <w:t>Es soll der Praktikantin und dem Praktikanten insbesondere ermöglichen:</w:t>
      </w:r>
    </w:p>
    <w:p w14:paraId="057A7CBB" w14:textId="77777777" w:rsidR="00926309" w:rsidRDefault="00926309" w:rsidP="00926309">
      <w:pPr>
        <w:shd w:val="clear" w:color="auto" w:fill="FFFFFF"/>
        <w:spacing w:after="240"/>
        <w:ind w:left="720"/>
        <w:rPr>
          <w:rFonts w:ascii="Verdana" w:hAnsi="Verdana"/>
          <w:color w:val="000000"/>
          <w:sz w:val="24"/>
          <w:szCs w:val="24"/>
          <w:lang w:eastAsia="de-DE"/>
        </w:rPr>
      </w:pPr>
      <w:r>
        <w:rPr>
          <w:rFonts w:ascii="Verdana" w:hAnsi="Verdana"/>
          <w:color w:val="000000"/>
          <w:sz w:val="24"/>
          <w:szCs w:val="24"/>
          <w:lang w:eastAsia="de-DE"/>
        </w:rPr>
        <w:br/>
      </w:r>
    </w:p>
    <w:p w14:paraId="470FC51C" w14:textId="77777777" w:rsidR="00926309" w:rsidRDefault="00926309" w:rsidP="00926309">
      <w:pPr>
        <w:shd w:val="clear" w:color="auto" w:fill="FFFFFF"/>
        <w:spacing w:line="360" w:lineRule="atLeast"/>
        <w:ind w:left="720"/>
        <w:rPr>
          <w:rFonts w:ascii="Verdana" w:hAnsi="Verdana"/>
          <w:color w:val="000000"/>
          <w:sz w:val="24"/>
          <w:szCs w:val="24"/>
          <w:lang w:eastAsia="de-DE"/>
        </w:rPr>
      </w:pPr>
      <w:r>
        <w:rPr>
          <w:rFonts w:ascii="Verdana" w:hAnsi="Verdana"/>
          <w:color w:val="000000"/>
          <w:sz w:val="24"/>
          <w:szCs w:val="24"/>
          <w:lang w:eastAsia="de-DE"/>
        </w:rPr>
        <w:t>–</w:t>
      </w:r>
    </w:p>
    <w:p w14:paraId="43099F55" w14:textId="77777777" w:rsidR="00926309" w:rsidRDefault="00926309" w:rsidP="00926309">
      <w:pPr>
        <w:shd w:val="clear" w:color="auto" w:fill="FFFFFF"/>
        <w:spacing w:after="45" w:line="360" w:lineRule="atLeast"/>
        <w:ind w:left="720"/>
        <w:rPr>
          <w:rFonts w:ascii="Verdana" w:hAnsi="Verdana"/>
          <w:color w:val="000000"/>
          <w:sz w:val="24"/>
          <w:szCs w:val="24"/>
          <w:lang w:eastAsia="de-DE"/>
        </w:rPr>
      </w:pPr>
      <w:r>
        <w:rPr>
          <w:rFonts w:ascii="Verdana" w:hAnsi="Verdana"/>
          <w:color w:val="000000"/>
          <w:sz w:val="24"/>
          <w:szCs w:val="24"/>
          <w:lang w:eastAsia="de-DE"/>
        </w:rPr>
        <w:lastRenderedPageBreak/>
        <w:t>Einblick in die Gegebenheiten und Abläufe betrieblicher Prozesse und Arbeitsabläufe zu gewinnen,</w:t>
      </w:r>
    </w:p>
    <w:p w14:paraId="633269C0" w14:textId="77777777" w:rsidR="00926309" w:rsidRDefault="00926309" w:rsidP="00926309">
      <w:pPr>
        <w:shd w:val="clear" w:color="auto" w:fill="FFFFFF"/>
        <w:spacing w:after="240"/>
        <w:ind w:left="720"/>
        <w:rPr>
          <w:rFonts w:ascii="Verdana" w:hAnsi="Verdana"/>
          <w:color w:val="000000"/>
          <w:sz w:val="24"/>
          <w:szCs w:val="24"/>
          <w:lang w:eastAsia="de-DE"/>
        </w:rPr>
      </w:pPr>
    </w:p>
    <w:p w14:paraId="200FDDD8" w14:textId="77777777" w:rsidR="00926309" w:rsidRDefault="00926309" w:rsidP="00926309">
      <w:pPr>
        <w:shd w:val="clear" w:color="auto" w:fill="FFFFFF"/>
        <w:spacing w:line="360" w:lineRule="atLeast"/>
        <w:ind w:left="1114"/>
        <w:rPr>
          <w:rFonts w:ascii="Verdana" w:hAnsi="Verdana"/>
          <w:color w:val="000000"/>
          <w:sz w:val="24"/>
          <w:szCs w:val="24"/>
          <w:lang w:eastAsia="de-DE"/>
        </w:rPr>
      </w:pPr>
      <w:r>
        <w:rPr>
          <w:rFonts w:ascii="Verdana" w:hAnsi="Verdana"/>
          <w:color w:val="000000"/>
          <w:sz w:val="24"/>
          <w:szCs w:val="24"/>
          <w:lang w:eastAsia="de-DE"/>
        </w:rPr>
        <w:t>–</w:t>
      </w:r>
    </w:p>
    <w:p w14:paraId="1BBE5AF2" w14:textId="77777777" w:rsidR="00926309" w:rsidRDefault="00926309" w:rsidP="00926309">
      <w:pPr>
        <w:shd w:val="clear" w:color="auto" w:fill="FFFFFF"/>
        <w:spacing w:after="45" w:line="360" w:lineRule="atLeast"/>
        <w:ind w:left="720"/>
        <w:rPr>
          <w:rFonts w:ascii="Verdana" w:hAnsi="Verdana"/>
          <w:color w:val="000000"/>
          <w:sz w:val="24"/>
          <w:szCs w:val="24"/>
          <w:lang w:eastAsia="de-DE"/>
        </w:rPr>
      </w:pPr>
      <w:r>
        <w:rPr>
          <w:rFonts w:ascii="Verdana" w:hAnsi="Verdana"/>
          <w:color w:val="000000"/>
          <w:sz w:val="24"/>
          <w:szCs w:val="24"/>
          <w:lang w:eastAsia="de-DE"/>
        </w:rPr>
        <w:t>die Arbeitswelt sowie die Arbeitsfelder und Tätigkeitsbereiche, auf die das Studium vorbereitet, kennenzulernen und aus eigenem Erleben zu erfahren,</w:t>
      </w:r>
    </w:p>
    <w:p w14:paraId="70B3C795" w14:textId="77777777" w:rsidR="00926309" w:rsidRDefault="00926309" w:rsidP="00926309">
      <w:pPr>
        <w:shd w:val="clear" w:color="auto" w:fill="FFFFFF"/>
        <w:spacing w:after="240"/>
        <w:ind w:left="720"/>
        <w:rPr>
          <w:rFonts w:ascii="Verdana" w:hAnsi="Verdana"/>
          <w:color w:val="000000"/>
          <w:sz w:val="24"/>
          <w:szCs w:val="24"/>
          <w:lang w:eastAsia="de-DE"/>
        </w:rPr>
      </w:pPr>
    </w:p>
    <w:p w14:paraId="3BFC9EE2" w14:textId="77777777" w:rsidR="00926309" w:rsidRDefault="00926309" w:rsidP="00926309">
      <w:pPr>
        <w:shd w:val="clear" w:color="auto" w:fill="FFFFFF"/>
        <w:spacing w:line="360" w:lineRule="atLeast"/>
        <w:ind w:left="1508"/>
        <w:rPr>
          <w:rFonts w:ascii="Verdana" w:hAnsi="Verdana"/>
          <w:color w:val="000000"/>
          <w:sz w:val="24"/>
          <w:szCs w:val="24"/>
          <w:lang w:eastAsia="de-DE"/>
        </w:rPr>
      </w:pPr>
      <w:r>
        <w:rPr>
          <w:rFonts w:ascii="Verdana" w:hAnsi="Verdana"/>
          <w:color w:val="000000"/>
          <w:sz w:val="24"/>
          <w:szCs w:val="24"/>
          <w:lang w:eastAsia="de-DE"/>
        </w:rPr>
        <w:t>–</w:t>
      </w:r>
    </w:p>
    <w:p w14:paraId="65681266" w14:textId="77777777" w:rsidR="00926309" w:rsidRDefault="00926309" w:rsidP="00926309">
      <w:pPr>
        <w:shd w:val="clear" w:color="auto" w:fill="FFFFFF"/>
        <w:spacing w:after="45" w:line="360" w:lineRule="atLeast"/>
        <w:ind w:left="720"/>
        <w:rPr>
          <w:rFonts w:ascii="Verdana" w:hAnsi="Verdana"/>
          <w:color w:val="000000"/>
          <w:sz w:val="24"/>
          <w:szCs w:val="24"/>
          <w:lang w:eastAsia="de-DE"/>
        </w:rPr>
      </w:pPr>
      <w:r>
        <w:rPr>
          <w:rFonts w:ascii="Verdana" w:hAnsi="Verdana"/>
          <w:color w:val="000000"/>
          <w:sz w:val="24"/>
          <w:szCs w:val="24"/>
          <w:lang w:eastAsia="de-DE"/>
        </w:rPr>
        <w:t>soziale und berufsständische Probleme zu erkennen und das notwendige Verständnis und Problembewusstsein für das auf wissenschaftlicher Grundlage beruhende praxisbezogene Hochschulstudium zu erlangen und</w:t>
      </w:r>
    </w:p>
    <w:p w14:paraId="6496CC23" w14:textId="77777777" w:rsidR="00926309" w:rsidRDefault="00926309" w:rsidP="00926309">
      <w:pPr>
        <w:shd w:val="clear" w:color="auto" w:fill="FFFFFF"/>
        <w:spacing w:after="240"/>
        <w:ind w:left="720"/>
        <w:rPr>
          <w:rFonts w:ascii="Verdana" w:hAnsi="Verdana"/>
          <w:color w:val="000000"/>
          <w:sz w:val="24"/>
          <w:szCs w:val="24"/>
          <w:lang w:eastAsia="de-DE"/>
        </w:rPr>
      </w:pPr>
    </w:p>
    <w:p w14:paraId="082248F0" w14:textId="77777777" w:rsidR="00926309" w:rsidRDefault="00926309" w:rsidP="00926309">
      <w:pPr>
        <w:shd w:val="clear" w:color="auto" w:fill="FFFFFF"/>
        <w:spacing w:line="360" w:lineRule="atLeast"/>
        <w:ind w:left="1902"/>
        <w:rPr>
          <w:rFonts w:ascii="Verdana" w:hAnsi="Verdana"/>
          <w:color w:val="000000"/>
          <w:sz w:val="24"/>
          <w:szCs w:val="24"/>
          <w:lang w:eastAsia="de-DE"/>
        </w:rPr>
      </w:pPr>
      <w:r>
        <w:rPr>
          <w:rFonts w:ascii="Verdana" w:hAnsi="Verdana"/>
          <w:color w:val="000000"/>
          <w:sz w:val="24"/>
          <w:szCs w:val="24"/>
          <w:lang w:eastAsia="de-DE"/>
        </w:rPr>
        <w:t>–</w:t>
      </w:r>
    </w:p>
    <w:p w14:paraId="2654DA15" w14:textId="77777777" w:rsidR="00926309" w:rsidRDefault="00926309" w:rsidP="00926309">
      <w:pPr>
        <w:shd w:val="clear" w:color="auto" w:fill="FFFFFF"/>
        <w:spacing w:after="45" w:line="360" w:lineRule="atLeast"/>
        <w:ind w:left="720"/>
        <w:rPr>
          <w:rFonts w:ascii="Verdana" w:hAnsi="Verdana"/>
          <w:color w:val="000000"/>
          <w:sz w:val="24"/>
          <w:szCs w:val="24"/>
          <w:lang w:eastAsia="de-DE"/>
        </w:rPr>
      </w:pPr>
      <w:r>
        <w:rPr>
          <w:rFonts w:ascii="Verdana" w:hAnsi="Verdana"/>
          <w:color w:val="000000"/>
          <w:sz w:val="24"/>
          <w:szCs w:val="24"/>
          <w:lang w:eastAsia="de-DE"/>
        </w:rPr>
        <w:t>Techniken und Verfahren kennenzulernen sowie ihre Auswirkungen beurteilen zu können.</w:t>
      </w:r>
    </w:p>
    <w:p w14:paraId="203F28A1" w14:textId="77777777" w:rsidR="00926309" w:rsidRDefault="00926309" w:rsidP="00926309">
      <w:pPr>
        <w:shd w:val="clear" w:color="auto" w:fill="FFFFFF"/>
        <w:spacing w:after="240"/>
        <w:ind w:left="720"/>
        <w:rPr>
          <w:rFonts w:ascii="Verdana" w:hAnsi="Verdana"/>
          <w:color w:val="000000"/>
          <w:sz w:val="24"/>
          <w:szCs w:val="24"/>
          <w:lang w:eastAsia="de-DE"/>
        </w:rPr>
      </w:pPr>
    </w:p>
    <w:p w14:paraId="32066987" w14:textId="77777777" w:rsidR="00926309" w:rsidRDefault="00926309" w:rsidP="00926309">
      <w:pPr>
        <w:shd w:val="clear" w:color="auto" w:fill="FFFFFF"/>
        <w:spacing w:line="360" w:lineRule="atLeast"/>
        <w:ind w:left="1527"/>
        <w:rPr>
          <w:rFonts w:ascii="Verdana" w:hAnsi="Verdana"/>
          <w:color w:val="000000"/>
          <w:sz w:val="24"/>
          <w:szCs w:val="24"/>
          <w:lang w:eastAsia="de-DE"/>
        </w:rPr>
      </w:pPr>
      <w:r>
        <w:rPr>
          <w:rFonts w:ascii="Verdana" w:hAnsi="Verdana"/>
          <w:color w:val="000000"/>
          <w:sz w:val="24"/>
          <w:szCs w:val="24"/>
          <w:lang w:eastAsia="de-DE"/>
        </w:rPr>
        <w:t>1.3</w:t>
      </w:r>
    </w:p>
    <w:p w14:paraId="3B0B2CFF" w14:textId="77777777" w:rsidR="00926309" w:rsidRDefault="00926309" w:rsidP="00926309">
      <w:pPr>
        <w:shd w:val="clear" w:color="auto" w:fill="FFFFFF"/>
        <w:spacing w:after="45" w:line="360" w:lineRule="atLeast"/>
        <w:ind w:left="720"/>
        <w:rPr>
          <w:rFonts w:ascii="Verdana" w:hAnsi="Verdana"/>
          <w:color w:val="000000"/>
          <w:sz w:val="24"/>
          <w:szCs w:val="24"/>
          <w:lang w:eastAsia="de-DE"/>
        </w:rPr>
      </w:pPr>
      <w:r>
        <w:rPr>
          <w:rFonts w:ascii="Verdana" w:hAnsi="Verdana"/>
          <w:color w:val="000000"/>
          <w:sz w:val="24"/>
          <w:szCs w:val="24"/>
          <w:lang w:eastAsia="de-DE"/>
        </w:rPr>
        <w:t>Das Praktikum erfolgt in einem Betrieb, in einer Einrichtung der Sozialen Arbeit oder in einer öffentlichen Verwaltung. Die Praktikantenstelle ist als geeignet anzusehen, wenn diese die Voraussetzungen zur Durchführung einer bundes- oder landesrechtlich geregelten Berufsausbildung erfüllt oder geeignet ist, auf eine bundes- oder landesrechtlich geregelte Berufsausbildung vorzubereiten, und eine nach den Richtlinien für das Praktikum geordnete Ausbildung gewährleistet ist. Das Praktikum kann im Verbund von zwei Praktikantenstellen durchgeführt werden.</w:t>
      </w:r>
    </w:p>
    <w:p w14:paraId="36C9FB05" w14:textId="77777777" w:rsidR="00926309" w:rsidRDefault="00926309" w:rsidP="00926309">
      <w:pPr>
        <w:shd w:val="clear" w:color="auto" w:fill="FFFFFF"/>
        <w:spacing w:after="240"/>
        <w:ind w:left="720"/>
        <w:rPr>
          <w:rFonts w:ascii="Verdana" w:hAnsi="Verdana"/>
          <w:color w:val="000000"/>
          <w:sz w:val="24"/>
          <w:szCs w:val="24"/>
          <w:lang w:eastAsia="de-DE"/>
        </w:rPr>
      </w:pPr>
    </w:p>
    <w:p w14:paraId="7DAFB41F" w14:textId="77777777" w:rsidR="00926309" w:rsidRDefault="00926309" w:rsidP="00926309">
      <w:pPr>
        <w:shd w:val="clear" w:color="auto" w:fill="FFFFFF"/>
        <w:spacing w:line="360" w:lineRule="atLeast"/>
        <w:ind w:left="2036"/>
        <w:rPr>
          <w:rFonts w:ascii="Verdana" w:hAnsi="Verdana"/>
          <w:color w:val="000000"/>
          <w:sz w:val="24"/>
          <w:szCs w:val="24"/>
          <w:lang w:eastAsia="de-DE"/>
        </w:rPr>
      </w:pPr>
      <w:r>
        <w:rPr>
          <w:rFonts w:ascii="Verdana" w:hAnsi="Verdana"/>
          <w:color w:val="000000"/>
          <w:sz w:val="24"/>
          <w:szCs w:val="24"/>
          <w:lang w:eastAsia="de-DE"/>
        </w:rPr>
        <w:t>1.4</w:t>
      </w:r>
    </w:p>
    <w:p w14:paraId="589E0A23" w14:textId="77777777" w:rsidR="00926309" w:rsidRDefault="00926309" w:rsidP="00926309">
      <w:pPr>
        <w:shd w:val="clear" w:color="auto" w:fill="FFFFFF"/>
        <w:spacing w:after="45" w:line="360" w:lineRule="atLeast"/>
        <w:ind w:left="720"/>
        <w:rPr>
          <w:rFonts w:ascii="Verdana" w:hAnsi="Verdana"/>
          <w:color w:val="000000"/>
          <w:sz w:val="24"/>
          <w:szCs w:val="24"/>
          <w:lang w:eastAsia="de-DE"/>
        </w:rPr>
      </w:pPr>
      <w:r>
        <w:rPr>
          <w:rFonts w:ascii="Verdana" w:hAnsi="Verdana"/>
          <w:color w:val="000000"/>
          <w:sz w:val="24"/>
          <w:szCs w:val="24"/>
          <w:lang w:eastAsia="de-DE"/>
        </w:rPr>
        <w:t>Bei der Vermittlung der Praktikantenstellen sind die Berufsberatung der Agenturen für Arbeit, die Kammern und die Fachhochschulen behilflich.</w:t>
      </w:r>
    </w:p>
    <w:p w14:paraId="41F7CABD" w14:textId="77777777" w:rsidR="00926309" w:rsidRDefault="00926309" w:rsidP="00926309">
      <w:pPr>
        <w:shd w:val="clear" w:color="auto" w:fill="FFFFFF"/>
        <w:spacing w:after="240"/>
        <w:ind w:left="720"/>
        <w:rPr>
          <w:rFonts w:ascii="Verdana" w:hAnsi="Verdana"/>
          <w:color w:val="000000"/>
          <w:sz w:val="24"/>
          <w:szCs w:val="24"/>
          <w:lang w:eastAsia="de-DE"/>
        </w:rPr>
      </w:pPr>
    </w:p>
    <w:p w14:paraId="5A298F52" w14:textId="77777777" w:rsidR="00926309" w:rsidRDefault="00926309" w:rsidP="00926309">
      <w:pPr>
        <w:shd w:val="clear" w:color="auto" w:fill="FFFFFF"/>
        <w:spacing w:line="360" w:lineRule="atLeast"/>
        <w:ind w:left="2545"/>
        <w:rPr>
          <w:rFonts w:ascii="Verdana" w:hAnsi="Verdana"/>
          <w:color w:val="000000"/>
          <w:sz w:val="24"/>
          <w:szCs w:val="24"/>
          <w:lang w:eastAsia="de-DE"/>
        </w:rPr>
      </w:pPr>
      <w:r>
        <w:rPr>
          <w:rFonts w:ascii="Verdana" w:hAnsi="Verdana"/>
          <w:color w:val="000000"/>
          <w:sz w:val="24"/>
          <w:szCs w:val="24"/>
          <w:lang w:eastAsia="de-DE"/>
        </w:rPr>
        <w:t>1.5</w:t>
      </w:r>
    </w:p>
    <w:p w14:paraId="076C34C1" w14:textId="77777777" w:rsidR="00926309" w:rsidRDefault="00926309" w:rsidP="00926309">
      <w:pPr>
        <w:shd w:val="clear" w:color="auto" w:fill="FFFFFF"/>
        <w:spacing w:after="45" w:line="360" w:lineRule="atLeast"/>
        <w:ind w:left="720"/>
        <w:rPr>
          <w:rFonts w:ascii="Verdana" w:hAnsi="Verdana"/>
          <w:color w:val="000000"/>
          <w:sz w:val="24"/>
          <w:szCs w:val="24"/>
          <w:lang w:eastAsia="de-DE"/>
        </w:rPr>
      </w:pPr>
      <w:r>
        <w:rPr>
          <w:rFonts w:ascii="Verdana" w:hAnsi="Verdana"/>
          <w:color w:val="000000"/>
          <w:sz w:val="24"/>
          <w:szCs w:val="24"/>
          <w:lang w:eastAsia="de-DE"/>
        </w:rPr>
        <w:lastRenderedPageBreak/>
        <w:t>Zwischen der Praktikantin oder dem Praktikanten und der Praktikantenstelle ist ein Praktikantenvertrag nach dem Muster der </w:t>
      </w:r>
      <w:hyperlink r:id="rId4" w:anchor="focuspoint" w:tooltip="Link auf eine Anlage" w:history="1">
        <w:r>
          <w:rPr>
            <w:rStyle w:val="Hyperlink"/>
            <w:rFonts w:ascii="Verdana" w:hAnsi="Verdana"/>
            <w:color w:val="B00303"/>
            <w:sz w:val="24"/>
            <w:szCs w:val="24"/>
            <w:lang w:eastAsia="de-DE"/>
          </w:rPr>
          <w:t>Anlage 1</w:t>
        </w:r>
      </w:hyperlink>
      <w:r>
        <w:rPr>
          <w:rFonts w:ascii="Verdana" w:hAnsi="Verdana"/>
          <w:color w:val="000000"/>
          <w:sz w:val="24"/>
          <w:szCs w:val="24"/>
          <w:lang w:eastAsia="de-DE"/>
        </w:rPr>
        <w:t> abzuschließen.</w:t>
      </w:r>
    </w:p>
    <w:p w14:paraId="5D307C2B" w14:textId="77777777" w:rsidR="00926309" w:rsidRDefault="00926309" w:rsidP="00926309">
      <w:pPr>
        <w:shd w:val="clear" w:color="auto" w:fill="FFFFFF"/>
        <w:spacing w:after="240"/>
        <w:ind w:left="720"/>
        <w:rPr>
          <w:rFonts w:ascii="Verdana" w:hAnsi="Verdana"/>
          <w:color w:val="000000"/>
          <w:sz w:val="24"/>
          <w:szCs w:val="24"/>
          <w:lang w:eastAsia="de-DE"/>
        </w:rPr>
      </w:pPr>
    </w:p>
    <w:p w14:paraId="28187655" w14:textId="77777777" w:rsidR="00926309" w:rsidRDefault="00926309" w:rsidP="00926309">
      <w:pPr>
        <w:shd w:val="clear" w:color="auto" w:fill="FFFFFF"/>
        <w:spacing w:line="360" w:lineRule="atLeast"/>
        <w:ind w:left="3054"/>
        <w:rPr>
          <w:rFonts w:ascii="Verdana" w:hAnsi="Verdana"/>
          <w:color w:val="000000"/>
          <w:sz w:val="24"/>
          <w:szCs w:val="24"/>
          <w:lang w:eastAsia="de-DE"/>
        </w:rPr>
      </w:pPr>
      <w:r>
        <w:rPr>
          <w:rFonts w:ascii="Verdana" w:hAnsi="Verdana"/>
          <w:color w:val="000000"/>
          <w:sz w:val="24"/>
          <w:szCs w:val="24"/>
          <w:lang w:eastAsia="de-DE"/>
        </w:rPr>
        <w:t>1.6</w:t>
      </w:r>
    </w:p>
    <w:p w14:paraId="4D806642" w14:textId="77777777" w:rsidR="00926309" w:rsidRDefault="00926309" w:rsidP="00926309">
      <w:pPr>
        <w:shd w:val="clear" w:color="auto" w:fill="FFFFFF"/>
        <w:spacing w:after="45" w:line="360" w:lineRule="atLeast"/>
        <w:ind w:left="720"/>
        <w:rPr>
          <w:rFonts w:ascii="Verdana" w:hAnsi="Verdana"/>
          <w:color w:val="000000"/>
          <w:sz w:val="24"/>
          <w:szCs w:val="24"/>
          <w:lang w:eastAsia="de-DE"/>
        </w:rPr>
      </w:pPr>
      <w:r>
        <w:rPr>
          <w:rFonts w:ascii="Verdana" w:hAnsi="Verdana"/>
          <w:color w:val="000000"/>
          <w:sz w:val="24"/>
          <w:szCs w:val="24"/>
          <w:lang w:eastAsia="de-DE"/>
        </w:rPr>
        <w:t>Über den zeitlichen Verlauf und den Inhalt des Praktikums haben die Praktikantinnen und Praktikanten Bericht zu führen. Die Praktikantenstelle prüft und bescheinigt die sachliche Richtigkeit.</w:t>
      </w:r>
    </w:p>
    <w:p w14:paraId="51DFC17A" w14:textId="77777777" w:rsidR="00926309" w:rsidRDefault="00926309" w:rsidP="00926309">
      <w:pPr>
        <w:shd w:val="clear" w:color="auto" w:fill="FFFFFF"/>
        <w:spacing w:after="240"/>
        <w:ind w:left="720"/>
        <w:rPr>
          <w:rFonts w:ascii="Verdana" w:hAnsi="Verdana"/>
          <w:color w:val="000000"/>
          <w:sz w:val="24"/>
          <w:szCs w:val="24"/>
          <w:lang w:eastAsia="de-DE"/>
        </w:rPr>
      </w:pPr>
    </w:p>
    <w:p w14:paraId="100E3473" w14:textId="77777777" w:rsidR="00926309" w:rsidRDefault="00926309" w:rsidP="00926309">
      <w:pPr>
        <w:shd w:val="clear" w:color="auto" w:fill="FFFFFF"/>
        <w:spacing w:line="360" w:lineRule="atLeast"/>
        <w:ind w:left="3563"/>
        <w:rPr>
          <w:rFonts w:ascii="Verdana" w:hAnsi="Verdana"/>
          <w:color w:val="000000"/>
          <w:sz w:val="24"/>
          <w:szCs w:val="24"/>
          <w:lang w:eastAsia="de-DE"/>
        </w:rPr>
      </w:pPr>
      <w:r>
        <w:rPr>
          <w:rFonts w:ascii="Verdana" w:hAnsi="Verdana"/>
          <w:color w:val="000000"/>
          <w:sz w:val="24"/>
          <w:szCs w:val="24"/>
          <w:lang w:eastAsia="de-DE"/>
        </w:rPr>
        <w:t>1.7</w:t>
      </w:r>
    </w:p>
    <w:p w14:paraId="0BFECC10" w14:textId="77777777" w:rsidR="00926309" w:rsidRDefault="00926309" w:rsidP="00926309">
      <w:pPr>
        <w:shd w:val="clear" w:color="auto" w:fill="FFFFFF"/>
        <w:spacing w:after="45" w:line="360" w:lineRule="atLeast"/>
        <w:ind w:left="720"/>
        <w:rPr>
          <w:rFonts w:ascii="Verdana" w:hAnsi="Verdana"/>
          <w:color w:val="000000"/>
          <w:sz w:val="24"/>
          <w:szCs w:val="24"/>
          <w:lang w:eastAsia="de-DE"/>
        </w:rPr>
      </w:pPr>
      <w:r>
        <w:rPr>
          <w:rFonts w:ascii="Verdana" w:hAnsi="Verdana"/>
          <w:color w:val="000000"/>
          <w:sz w:val="24"/>
          <w:szCs w:val="24"/>
          <w:lang w:eastAsia="de-DE"/>
        </w:rPr>
        <w:t>Nach Beendigung des Praktikums stellt die Praktikantenstelle der Praktikantin oder dem Praktikanten ein Praktikumszeugnis über die ordnungsgemäße Durchführung des Praktikums nach dem Muster der </w:t>
      </w:r>
      <w:hyperlink r:id="rId5" w:anchor="focuspoint" w:tooltip="Link auf eine Anlage" w:history="1">
        <w:r>
          <w:rPr>
            <w:rStyle w:val="Hyperlink"/>
            <w:rFonts w:ascii="Verdana" w:hAnsi="Verdana"/>
            <w:color w:val="B00303"/>
            <w:sz w:val="24"/>
            <w:szCs w:val="24"/>
            <w:lang w:eastAsia="de-DE"/>
          </w:rPr>
          <w:t>Anlage 2</w:t>
        </w:r>
      </w:hyperlink>
      <w:r>
        <w:rPr>
          <w:rFonts w:ascii="Verdana" w:hAnsi="Verdana"/>
          <w:color w:val="000000"/>
          <w:sz w:val="24"/>
          <w:szCs w:val="24"/>
          <w:lang w:eastAsia="de-DE"/>
        </w:rPr>
        <w:t> aus. Das Praktikumszeugnis und die Praktikumsberichte sind der Fachhochschule vorzulegen. Die Fachhochschule entscheidet, ob die für die Aufnahme des Studiums erforderliche praktische Vorbildung nachgewiesen wird. Um zusätzlich die Anerkennung des Praktikums als einschlägige praktische Vorbildung gemäß den Bestimmungen des § 65 Abs. 2 des Hochschulgesetzes sicherzustellen, wird eine Beratung durch die Studien-/Praktikantenberatung der jeweiligen Fachhochschule vor Beginn des Praktikums empfohlen.</w:t>
      </w:r>
    </w:p>
    <w:p w14:paraId="48E742B3" w14:textId="77777777" w:rsidR="00926309" w:rsidRDefault="00926309" w:rsidP="00926309">
      <w:pPr>
        <w:shd w:val="clear" w:color="auto" w:fill="FFFFFF"/>
        <w:spacing w:after="240"/>
        <w:ind w:left="720"/>
        <w:rPr>
          <w:rFonts w:ascii="Verdana" w:hAnsi="Verdana"/>
          <w:color w:val="000000"/>
          <w:sz w:val="24"/>
          <w:szCs w:val="24"/>
          <w:lang w:eastAsia="de-DE"/>
        </w:rPr>
      </w:pPr>
    </w:p>
    <w:p w14:paraId="6AF6B267" w14:textId="77777777" w:rsidR="00926309" w:rsidRDefault="00926309" w:rsidP="00926309">
      <w:pPr>
        <w:shd w:val="clear" w:color="auto" w:fill="FFFFFF"/>
        <w:spacing w:line="360" w:lineRule="atLeast"/>
        <w:ind w:left="4072"/>
        <w:rPr>
          <w:rFonts w:ascii="Verdana" w:hAnsi="Verdana"/>
          <w:color w:val="000000"/>
          <w:sz w:val="24"/>
          <w:szCs w:val="24"/>
          <w:lang w:eastAsia="de-DE"/>
        </w:rPr>
      </w:pPr>
      <w:r>
        <w:rPr>
          <w:rFonts w:ascii="Verdana" w:hAnsi="Verdana"/>
          <w:color w:val="000000"/>
          <w:sz w:val="24"/>
          <w:szCs w:val="24"/>
          <w:lang w:eastAsia="de-DE"/>
        </w:rPr>
        <w:t>1.8</w:t>
      </w:r>
    </w:p>
    <w:p w14:paraId="15271068" w14:textId="77777777" w:rsidR="00926309" w:rsidRDefault="00926309" w:rsidP="00926309">
      <w:pPr>
        <w:shd w:val="clear" w:color="auto" w:fill="FFFFFF"/>
        <w:spacing w:after="45" w:line="360" w:lineRule="atLeast"/>
        <w:ind w:left="720"/>
        <w:rPr>
          <w:rFonts w:ascii="Verdana" w:hAnsi="Verdana"/>
          <w:color w:val="000000"/>
          <w:sz w:val="24"/>
          <w:szCs w:val="24"/>
          <w:lang w:eastAsia="de-DE"/>
        </w:rPr>
      </w:pPr>
      <w:r>
        <w:rPr>
          <w:rFonts w:ascii="Verdana" w:hAnsi="Verdana"/>
          <w:color w:val="000000"/>
          <w:sz w:val="24"/>
          <w:szCs w:val="24"/>
          <w:lang w:eastAsia="de-DE"/>
        </w:rPr>
        <w:t>Eine Praktikantenvergütung unterliegt der Vereinbarung zwischen den Vertragspartnern.</w:t>
      </w:r>
    </w:p>
    <w:p w14:paraId="16AD2A58" w14:textId="77777777" w:rsidR="00926309" w:rsidRDefault="00926309" w:rsidP="00926309">
      <w:pPr>
        <w:shd w:val="clear" w:color="auto" w:fill="FFFFFF"/>
        <w:spacing w:after="240"/>
        <w:ind w:left="720"/>
        <w:rPr>
          <w:rFonts w:ascii="Verdana" w:hAnsi="Verdana"/>
          <w:color w:val="000000"/>
          <w:sz w:val="24"/>
          <w:szCs w:val="24"/>
          <w:lang w:eastAsia="de-DE"/>
        </w:rPr>
      </w:pPr>
    </w:p>
    <w:p w14:paraId="0C3E2D2A" w14:textId="77777777" w:rsidR="00926309" w:rsidRDefault="00926309" w:rsidP="00926309">
      <w:pPr>
        <w:shd w:val="clear" w:color="auto" w:fill="FFFFFF"/>
        <w:spacing w:line="360" w:lineRule="atLeast"/>
        <w:ind w:left="4581"/>
        <w:rPr>
          <w:rFonts w:ascii="Verdana" w:hAnsi="Verdana"/>
          <w:color w:val="000000"/>
          <w:sz w:val="24"/>
          <w:szCs w:val="24"/>
          <w:lang w:eastAsia="de-DE"/>
        </w:rPr>
      </w:pPr>
      <w:r>
        <w:rPr>
          <w:rFonts w:ascii="Verdana" w:hAnsi="Verdana"/>
          <w:color w:val="000000"/>
          <w:sz w:val="24"/>
          <w:szCs w:val="24"/>
          <w:lang w:eastAsia="de-DE"/>
        </w:rPr>
        <w:t>1.9</w:t>
      </w:r>
    </w:p>
    <w:p w14:paraId="48576AC4" w14:textId="77777777" w:rsidR="00926309" w:rsidRDefault="00926309" w:rsidP="00926309">
      <w:pPr>
        <w:shd w:val="clear" w:color="auto" w:fill="FFFFFF"/>
        <w:spacing w:after="45" w:line="360" w:lineRule="atLeast"/>
        <w:ind w:left="720"/>
        <w:rPr>
          <w:rFonts w:ascii="Verdana" w:hAnsi="Verdana"/>
          <w:color w:val="000000"/>
          <w:sz w:val="24"/>
          <w:szCs w:val="24"/>
          <w:lang w:eastAsia="de-DE"/>
        </w:rPr>
      </w:pPr>
      <w:r>
        <w:rPr>
          <w:rFonts w:ascii="Verdana" w:hAnsi="Verdana"/>
          <w:color w:val="000000"/>
          <w:sz w:val="24"/>
          <w:szCs w:val="24"/>
          <w:lang w:eastAsia="de-DE"/>
        </w:rPr>
        <w:t>Das Praktikum zum Erwerb der Fachhochschulreife nach § 65 Abs. 3 Hochschulgesetz kann auch als Nachweis der vor Studienbeginn erforderlichen praktischen Vorbildung gemäß § 65 Abs. 2 Hochschulgesetz anerkannt werden.</w:t>
      </w:r>
    </w:p>
    <w:p w14:paraId="5CA7B81E" w14:textId="77777777" w:rsidR="00926309" w:rsidRDefault="00926309" w:rsidP="00926309">
      <w:pPr>
        <w:shd w:val="clear" w:color="auto" w:fill="FFFFFF"/>
        <w:spacing w:after="240"/>
        <w:ind w:left="720"/>
        <w:rPr>
          <w:rFonts w:ascii="Verdana" w:hAnsi="Verdana"/>
          <w:color w:val="000000"/>
          <w:sz w:val="24"/>
          <w:szCs w:val="24"/>
          <w:lang w:eastAsia="de-DE"/>
        </w:rPr>
      </w:pPr>
    </w:p>
    <w:p w14:paraId="294F4BB7" w14:textId="77777777" w:rsidR="00926309" w:rsidRDefault="00926309" w:rsidP="00926309">
      <w:pPr>
        <w:shd w:val="clear" w:color="auto" w:fill="FFFFFF"/>
        <w:spacing w:line="360" w:lineRule="atLeast"/>
        <w:ind w:left="5090"/>
        <w:rPr>
          <w:rFonts w:ascii="Verdana" w:hAnsi="Verdana"/>
          <w:color w:val="000000"/>
          <w:sz w:val="24"/>
          <w:szCs w:val="24"/>
          <w:lang w:eastAsia="de-DE"/>
        </w:rPr>
      </w:pPr>
      <w:r>
        <w:rPr>
          <w:rFonts w:ascii="Verdana" w:hAnsi="Verdana"/>
          <w:color w:val="000000"/>
          <w:sz w:val="24"/>
          <w:szCs w:val="24"/>
          <w:lang w:eastAsia="de-DE"/>
        </w:rPr>
        <w:t>2</w:t>
      </w:r>
    </w:p>
    <w:p w14:paraId="621865C6" w14:textId="77777777" w:rsidR="00926309" w:rsidRDefault="00926309" w:rsidP="00926309">
      <w:pPr>
        <w:shd w:val="clear" w:color="auto" w:fill="FFFFFF"/>
        <w:spacing w:after="45" w:line="360" w:lineRule="atLeast"/>
        <w:ind w:left="720"/>
        <w:rPr>
          <w:rFonts w:ascii="Verdana" w:hAnsi="Verdana"/>
          <w:color w:val="000000"/>
          <w:sz w:val="24"/>
          <w:szCs w:val="24"/>
          <w:lang w:eastAsia="de-DE"/>
        </w:rPr>
      </w:pPr>
      <w:r>
        <w:rPr>
          <w:rFonts w:ascii="Verdana" w:hAnsi="Verdana"/>
          <w:color w:val="000000"/>
          <w:sz w:val="24"/>
          <w:szCs w:val="24"/>
          <w:lang w:eastAsia="de-DE"/>
        </w:rPr>
        <w:t xml:space="preserve">Diese Verwaltungsvorschrift tritt am Tage nach der Veröffentlichung in Kraft. Gleichzeitig tritt die Verwaltungsvorschrift vom </w:t>
      </w:r>
      <w:r>
        <w:rPr>
          <w:rFonts w:ascii="Verdana" w:hAnsi="Verdana"/>
          <w:color w:val="000000"/>
          <w:sz w:val="24"/>
          <w:szCs w:val="24"/>
          <w:lang w:eastAsia="de-DE"/>
        </w:rPr>
        <w:lastRenderedPageBreak/>
        <w:t>20. November 2002 (1531 – 52 302-0/40) (</w:t>
      </w:r>
      <w:proofErr w:type="spellStart"/>
      <w:r>
        <w:rPr>
          <w:rFonts w:ascii="Verdana" w:hAnsi="Verdana"/>
          <w:color w:val="000000"/>
          <w:sz w:val="24"/>
          <w:szCs w:val="24"/>
          <w:lang w:eastAsia="de-DE"/>
        </w:rPr>
        <w:t>GAmtsbl</w:t>
      </w:r>
      <w:proofErr w:type="spellEnd"/>
      <w:r>
        <w:rPr>
          <w:rFonts w:ascii="Verdana" w:hAnsi="Verdana"/>
          <w:color w:val="000000"/>
          <w:sz w:val="24"/>
          <w:szCs w:val="24"/>
          <w:lang w:eastAsia="de-DE"/>
        </w:rPr>
        <w:t>. 2003 S. 203) außer Kraft.</w:t>
      </w:r>
    </w:p>
    <w:p w14:paraId="37B6ED12" w14:textId="77777777" w:rsidR="008061E8" w:rsidRDefault="00926309"/>
    <w:sectPr w:rsidR="008061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09"/>
    <w:rsid w:val="00485FAB"/>
    <w:rsid w:val="00926309"/>
    <w:rsid w:val="00F106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16F9"/>
  <w15:chartTrackingRefBased/>
  <w15:docId w15:val="{2595BACD-C4C9-4D77-B0BF-B3AAEBB0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6309"/>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2630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7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andesrecht.rlp.de/jportal/portal/t/glv/page/bsrlpprod.psml;jsessionid=717D9B35AFDCE88549070F07AA58439C.jp19?pid=Dokumentanzeige&amp;showdoccase=1&amp;js_peid=Trefferliste&amp;documentnumber=1&amp;numberofresults=1&amp;fromdoctodoc=yes&amp;doc.id=VVRP-VVRP000003490" TargetMode="External"/><Relationship Id="rId4" Type="http://schemas.openxmlformats.org/officeDocument/2006/relationships/hyperlink" Target="http://landesrecht.rlp.de/jportal/portal/t/glv/page/bsrlpprod.psml;jsessionid=717D9B35AFDCE88549070F07AA58439C.jp19?pid=Dokumentanzeige&amp;showdoccase=1&amp;js_peid=Trefferliste&amp;documentnumber=1&amp;numberofresults=1&amp;fromdoctodoc=yes&amp;doc.id=VVRP-VVRP00000348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950</Words>
  <Characters>5989</Characters>
  <Application>Microsoft Office Word</Application>
  <DocSecurity>0</DocSecurity>
  <Lines>49</Lines>
  <Paragraphs>13</Paragraphs>
  <ScaleCrop>false</ScaleCrop>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Horn</dc:creator>
  <cp:keywords/>
  <dc:description/>
  <cp:lastModifiedBy>Claudia Horn</cp:lastModifiedBy>
  <cp:revision>1</cp:revision>
  <dcterms:created xsi:type="dcterms:W3CDTF">2021-07-16T10:52:00Z</dcterms:created>
  <dcterms:modified xsi:type="dcterms:W3CDTF">2021-07-16T10:54:00Z</dcterms:modified>
</cp:coreProperties>
</file>